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2600"/>
        <w:tblBorders>
          <w:top w:val="none" w:color="auto" w:sz="0"/>
          <w:left w:val="none" w:color="auto" w:sz="0"/>
          <w:bottom w:val="none" w:color="auto" w:sz="0"/>
          <w:right w:val="none" w:color="auto" w:sz="0"/>
          <w:insideH w:val="none" w:color="auto" w:sz="0"/>
          <w:insideV w:val="none" w:color="auto" w:sz="0"/>
        </w:tblBorders>
      </w:tblPr>
      <w:tblGrid>
        <w:gridCol w:w="650"/>
        <w:gridCol w:w="650"/>
        <w:gridCol w:w="650"/>
        <w:gridCol w:w="650"/>
      </w:tblGrid>
      <w:tr>
        <w:trPr>
          <w:trHeight w:val="64" w:hRule="exact"/>
        </w:trPr>
        <w:tc>
          <w:tcPr>
            <w:tcW w:type="dxa" w:w="650"/>
            <w:tcBorders>
              <w:top w:val="none" w:color="auto" w:sz="0"/>
              <w:left w:val="none" w:color="auto" w:sz="0"/>
              <w:bottom w:val="none" w:color="auto" w:sz="0"/>
              <w:right w:val="none" w:color="auto" w:sz="0"/>
            </w:tcBorders>
            <w:shd w:fill="6E2622" w:color="auto" w:val="clear"/>
          </w:tcPr>
          <w:p>
            <w:pPr>
              <w:spacing w:after="0" w:before="0"/>
            </w:pPr>
          </w:p>
        </w:tc>
        <w:tc>
          <w:tcPr>
            <w:tcW w:type="dxa" w:w="650"/>
            <w:tcBorders>
              <w:top w:val="none" w:color="auto" w:sz="0"/>
              <w:left w:val="none" w:color="auto" w:sz="0"/>
              <w:bottom w:val="none" w:color="auto" w:sz="0"/>
              <w:right w:val="none" w:color="auto" w:sz="0"/>
            </w:tcBorders>
            <w:shd w:fill="1F5D5B" w:color="auto" w:val="clear"/>
          </w:tcPr>
          <w:p>
            <w:pPr>
              <w:spacing w:after="0" w:before="0"/>
            </w:pPr>
          </w:p>
        </w:tc>
        <w:tc>
          <w:tcPr>
            <w:tcW w:type="dxa" w:w="650"/>
            <w:tcBorders>
              <w:top w:val="none" w:color="auto" w:sz="0"/>
              <w:left w:val="none" w:color="auto" w:sz="0"/>
              <w:bottom w:val="none" w:color="auto" w:sz="0"/>
              <w:right w:val="none" w:color="auto" w:sz="0"/>
            </w:tcBorders>
            <w:shd w:fill="7A5C13" w:color="auto" w:val="clear"/>
          </w:tcPr>
          <w:p>
            <w:pPr>
              <w:spacing w:after="0" w:before="0"/>
            </w:pPr>
          </w:p>
        </w:tc>
        <w:tc>
          <w:tcPr>
            <w:tcW w:type="dxa" w:w="650"/>
            <w:tcBorders>
              <w:top w:val="none" w:color="auto" w:sz="0"/>
              <w:left w:val="none" w:color="auto" w:sz="0"/>
              <w:bottom w:val="none" w:color="auto" w:sz="0"/>
              <w:right w:val="none" w:color="auto" w:sz="0"/>
            </w:tcBorders>
            <w:shd w:fill="7A4A6B" w:color="auto" w:val="clear"/>
          </w:tcPr>
          <w:p>
            <w:pPr>
              <w:spacing w:after="0" w:before="0"/>
            </w:pPr>
          </w:p>
        </w:tc>
      </w:tr>
    </w:tbl>
    <w:p>
      <w:pPr>
        <w:spacing w:after="0" w:before="220"/>
      </w:pPr>
      <w:r>
        <w:rPr>
          <w:rFonts w:ascii="Schibsted Grotesk" w:cs="Schibsted Grotesk" w:eastAsia="Schibsted Grotesk" w:hAnsi="Schibsted Grotesk"/>
          <w:b/>
          <w:bCs/>
          <w:color w:val="14161A"/>
          <w:sz w:val="36"/>
          <w:szCs w:val="36"/>
        </w:rPr>
        <w:t xml:space="preserve">The limb (a) test.</w:t>
      </w:r>
    </w:p>
    <w:p>
      <w:pPr>
        <w:spacing w:after="110" w:before="110"/>
      </w:pPr>
      <w:r>
        <w:rPr>
          <w:rFonts w:ascii="Source Serif 4" w:cs="Source Serif 4" w:eastAsia="Source Serif 4" w:hAnsi="Source Serif 4"/>
          <w:color w:val="14161A"/>
          <w:sz w:val="20"/>
          <w:szCs w:val="20"/>
        </w:rPr>
        <w:t xml:space="preserve">Six steps, one decision at a time. For working out whether a computer program is close enough to a decision to fall inside the obligation commencing 10 December 2026.</w:t>
      </w:r>
    </w:p>
    <w:p>
      <w:pPr>
        <w:pBdr>
          <w:bottom w:val="single" w:color="14161A" w:sz="8" w:space="10"/>
        </w:pBdr>
        <w:spacing w:after="190"/>
      </w:pPr>
      <w:r>
        <w:rPr>
          <w:rFonts w:ascii="Schibsted Grotesk" w:cs="Schibsted Grotesk" w:eastAsia="Schibsted Grotesk" w:hAnsi="Schibsted Grotesk"/>
          <w:b/>
          <w:bCs/>
          <w:color w:val="686F75"/>
          <w:spacing w:val="30"/>
          <w:sz w:val="13"/>
          <w:szCs w:val="13"/>
        </w:rPr>
        <w:t xml:space="preserve">AUSTRALIAN PRIVACY PRINCIPLE 1.7(a)  ·  PRIVACY ACT 1988 (Cth)  ·  STATUTORY TEXT READ 22 AUGUST 2026</w:t>
      </w:r>
    </w:p>
    <w:p>
      <w:pPr>
        <w:spacing w:after="95" w:before="0"/>
      </w:pPr>
      <w:r>
        <w:rPr>
          <w:rFonts w:ascii="Schibsted Grotesk" w:cs="Schibsted Grotesk" w:eastAsia="Schibsted Grotesk" w:hAnsi="Schibsted Grotesk"/>
          <w:b/>
          <w:bCs/>
          <w:color w:val="686F75"/>
          <w:spacing w:val="34"/>
          <w:sz w:val="14"/>
          <w:szCs w:val="14"/>
        </w:rPr>
        <w:t xml:space="preserve">BEFORE YOU START</w:t>
      </w:r>
    </w:p>
    <w:p>
      <w:pPr>
        <w:spacing w:after="115"/>
      </w:pPr>
      <w:r>
        <w:rPr>
          <w:rFonts w:ascii="Source Serif 4" w:cs="Source Serif 4" w:eastAsia="Source Serif 4" w:hAnsi="Source Serif 4"/>
          <w:color w:val="14161A"/>
          <w:sz w:val="21"/>
          <w:szCs w:val="21"/>
        </w:rPr>
        <w:t xml:space="preserve">APP 1.7 has three limbs, and all three must be true before anything has to go in a privacy policy. This page tests the first only, because it is the limb that decides scope and the one people get wrong. The other two are narrower. Limb (b): could the decision reasonably be expected to significantly affect the rights or interests of an individual? Limb (c): is personal information about that individual used in the operation of the computer program to make the decision, or to do the thing that is substantially and directly related to making it?</w:t>
      </w:r>
    </w:p>
    <w:p>
      <w:pPr>
        <w:spacing w:after="110"/>
      </w:pPr>
      <w:r>
        <w:rPr>
          <w:rFonts w:ascii="Schibsted Grotesk" w:cs="Schibsted Grotesk" w:eastAsia="Schibsted Grotesk" w:hAnsi="Schibsted Grotesk"/>
          <w:color w:val="5A6167"/>
          <w:sz w:val="15"/>
          <w:szCs w:val="15"/>
        </w:rPr>
        <w:t xml:space="preserve">The obligation is a transparency obligation. It creates no right to an explanation, no right to object, and no prohibition on automated decision-making.</w:t>
      </w:r>
    </w:p>
    <w:p>
      <w:pPr>
        <w:spacing w:after="95" w:before="230"/>
      </w:pPr>
      <w:r>
        <w:rPr>
          <w:rFonts w:ascii="Schibsted Grotesk" w:cs="Schibsted Grotesk" w:eastAsia="Schibsted Grotesk" w:hAnsi="Schibsted Grotesk"/>
          <w:b/>
          <w:bCs/>
          <w:color w:val="686F75"/>
          <w:spacing w:val="34"/>
          <w:sz w:val="14"/>
          <w:szCs w:val="14"/>
        </w:rPr>
        <w:t xml:space="preserve">THE TEST</w:t>
      </w:r>
    </w:p>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Pr>
        <w:tc>
          <w:tcPr>
            <w:tcW w:type="dxa" w:w="720"/>
            <w:tcBorders>
              <w:top w:val="single" w:color="DDDEDB" w:sz="2"/>
              <w:left w:val="none" w:color="auto" w:sz="0"/>
              <w:bottom w:val="none" w:color="auto" w:sz="0"/>
              <w:right w:val="none" w:color="auto" w:sz="0"/>
            </w:tcBorders>
            <w:tcMar>
              <w:top w:type="dxa" w:w="105"/>
              <w:left w:type="dxa" w:w="0"/>
              <w:bottom w:type="dxa" w:w="100"/>
              <w:right w:type="dxa" w:w="0"/>
            </w:tcMar>
          </w:tcPr>
          <w:p>
            <w:r>
              <w:rPr>
                <w:rFonts w:ascii="Schibsted Grotesk" w:cs="Schibsted Grotesk" w:eastAsia="Schibsted Grotesk" w:hAnsi="Schibsted Grotesk"/>
                <w:b/>
                <w:bCs/>
                <w:color w:val="686F75"/>
                <w:sz w:val="16"/>
                <w:szCs w:val="16"/>
              </w:rPr>
              <w:t xml:space="preserve">01</w:t>
            </w:r>
          </w:p>
        </w:tc>
        <w:tc>
          <w:tcPr>
            <w:tcW w:type="dxa" w:w="8306"/>
            <w:tcBorders>
              <w:top w:val="single" w:color="DDDEDB" w:sz="2"/>
              <w:left w:val="none" w:color="auto" w:sz="0"/>
              <w:bottom w:val="none" w:color="auto" w:sz="0"/>
              <w:right w:val="none" w:color="auto" w:sz="0"/>
            </w:tcBorders>
            <w:tcMar>
              <w:top w:type="dxa" w:w="105"/>
              <w:left w:type="dxa" w:w="0"/>
              <w:bottom w:type="dxa" w:w="100"/>
              <w:right w:type="dxa" w:w="0"/>
            </w:tcMar>
          </w:tcPr>
          <w:p>
            <w:pPr>
              <w:spacing w:after="45"/>
            </w:pPr>
            <w:r>
              <w:rPr>
                <w:rFonts w:ascii="Schibsted Grotesk" w:cs="Schibsted Grotesk" w:eastAsia="Schibsted Grotesk" w:hAnsi="Schibsted Grotesk"/>
                <w:b/>
                <w:bCs/>
                <w:color w:val="14161A"/>
                <w:sz w:val="21"/>
                <w:szCs w:val="21"/>
              </w:rPr>
              <w:t xml:space="preserve">Name the decision, not the system.</w:t>
            </w:r>
          </w:p>
          <w:p>
            <w:r>
              <w:rPr>
                <w:rFonts w:ascii="Source Serif 4" w:cs="Source Serif 4" w:eastAsia="Source Serif 4" w:hAnsi="Source Serif 4"/>
                <w:color w:val="5A6167"/>
                <w:sz w:val="18"/>
                <w:szCs w:val="18"/>
              </w:rPr>
              <w:t xml:space="preserve">Write it as a sentence with a verb and a person: we decline the application, we set the premium, we order the queue. If you cannot name the person the decision lands on, you are describing a system rather than a decision, and the test will not work.</w:t>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Pr>
        <w:tc>
          <w:tcPr>
            <w:tcW w:type="dxa" w:w="720"/>
            <w:tcBorders>
              <w:top w:val="single" w:color="DDDEDB" w:sz="2"/>
              <w:left w:val="none" w:color="auto" w:sz="0"/>
              <w:bottom w:val="none" w:color="auto" w:sz="0"/>
              <w:right w:val="none" w:color="auto" w:sz="0"/>
            </w:tcBorders>
            <w:tcMar>
              <w:top w:type="dxa" w:w="105"/>
              <w:left w:type="dxa" w:w="0"/>
              <w:bottom w:type="dxa" w:w="100"/>
              <w:right w:type="dxa" w:w="0"/>
            </w:tcMar>
          </w:tcPr>
          <w:p>
            <w:r>
              <w:rPr>
                <w:rFonts w:ascii="Schibsted Grotesk" w:cs="Schibsted Grotesk" w:eastAsia="Schibsted Grotesk" w:hAnsi="Schibsted Grotesk"/>
                <w:b/>
                <w:bCs/>
                <w:color w:val="686F75"/>
                <w:sz w:val="16"/>
                <w:szCs w:val="16"/>
              </w:rPr>
              <w:t xml:space="preserve">02</w:t>
            </w:r>
          </w:p>
        </w:tc>
        <w:tc>
          <w:tcPr>
            <w:tcW w:type="dxa" w:w="8306"/>
            <w:tcBorders>
              <w:top w:val="single" w:color="DDDEDB" w:sz="2"/>
              <w:left w:val="none" w:color="auto" w:sz="0"/>
              <w:bottom w:val="none" w:color="auto" w:sz="0"/>
              <w:right w:val="none" w:color="auto" w:sz="0"/>
            </w:tcBorders>
            <w:tcMar>
              <w:top w:type="dxa" w:w="105"/>
              <w:left w:type="dxa" w:w="0"/>
              <w:bottom w:type="dxa" w:w="100"/>
              <w:right w:type="dxa" w:w="0"/>
            </w:tcMar>
          </w:tcPr>
          <w:p>
            <w:pPr>
              <w:spacing w:after="45"/>
            </w:pPr>
            <w:r>
              <w:rPr>
                <w:rFonts w:ascii="Schibsted Grotesk" w:cs="Schibsted Grotesk" w:eastAsia="Schibsted Grotesk" w:hAnsi="Schibsted Grotesk"/>
                <w:b/>
                <w:bCs/>
                <w:color w:val="14161A"/>
                <w:sz w:val="21"/>
                <w:szCs w:val="21"/>
              </w:rPr>
              <w:t xml:space="preserve">Has the entity arranged for a computer program to make it, with no person choosing?</w:t>
            </w:r>
          </w:p>
          <w:p>
            <w:r>
              <w:rPr>
                <w:rFonts w:ascii="Source Serif 4" w:cs="Source Serif 4" w:eastAsia="Source Serif 4" w:hAnsi="Source Serif 4"/>
                <w:color w:val="5A6167"/>
                <w:sz w:val="18"/>
                <w:szCs w:val="18"/>
              </w:rPr>
              <w:t xml:space="preserve">The words in APP 1.7(a) are “has arranged for”. A system a third party runs on your behalf is still arranged for by you. If yes, limb (a) is met. Record it and stop here. If a person makes the choice, keep going: the limb reaches further than fully automated decisions.</w:t>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Pr>
        <w:tc>
          <w:tcPr>
            <w:tcW w:type="dxa" w:w="720"/>
            <w:tcBorders>
              <w:top w:val="single" w:color="DDDEDB" w:sz="2"/>
              <w:left w:val="none" w:color="auto" w:sz="0"/>
              <w:bottom w:val="none" w:color="auto" w:sz="0"/>
              <w:right w:val="none" w:color="auto" w:sz="0"/>
            </w:tcBorders>
            <w:tcMar>
              <w:top w:type="dxa" w:w="105"/>
              <w:left w:type="dxa" w:w="0"/>
              <w:bottom w:type="dxa" w:w="100"/>
              <w:right w:type="dxa" w:w="0"/>
            </w:tcMar>
          </w:tcPr>
          <w:p>
            <w:r>
              <w:rPr>
                <w:rFonts w:ascii="Schibsted Grotesk" w:cs="Schibsted Grotesk" w:eastAsia="Schibsted Grotesk" w:hAnsi="Schibsted Grotesk"/>
                <w:b/>
                <w:bCs/>
                <w:color w:val="686F75"/>
                <w:sz w:val="16"/>
                <w:szCs w:val="16"/>
              </w:rPr>
              <w:t xml:space="preserve">03</w:t>
            </w:r>
          </w:p>
        </w:tc>
        <w:tc>
          <w:tcPr>
            <w:tcW w:type="dxa" w:w="8306"/>
            <w:tcBorders>
              <w:top w:val="single" w:color="DDDEDB" w:sz="2"/>
              <w:left w:val="none" w:color="auto" w:sz="0"/>
              <w:bottom w:val="none" w:color="auto" w:sz="0"/>
              <w:right w:val="none" w:color="auto" w:sz="0"/>
            </w:tcBorders>
            <w:tcMar>
              <w:top w:type="dxa" w:w="105"/>
              <w:left w:type="dxa" w:w="0"/>
              <w:bottom w:type="dxa" w:w="100"/>
              <w:right w:type="dxa" w:w="0"/>
            </w:tcMar>
          </w:tcPr>
          <w:p>
            <w:pPr>
              <w:spacing w:after="45"/>
            </w:pPr>
            <w:r>
              <w:rPr>
                <w:rFonts w:ascii="Schibsted Grotesk" w:cs="Schibsted Grotesk" w:eastAsia="Schibsted Grotesk" w:hAnsi="Schibsted Grotesk"/>
                <w:b/>
                <w:bCs/>
                <w:color w:val="14161A"/>
                <w:sz w:val="21"/>
                <w:szCs w:val="21"/>
              </w:rPr>
              <w:t xml:space="preserve">Name what the program produces that reaches the decision.</w:t>
            </w:r>
          </w:p>
          <w:p>
            <w:r>
              <w:rPr>
                <w:rFonts w:ascii="Source Serif 4" w:cs="Source Serif 4" w:eastAsia="Source Serif 4" w:hAnsi="Source Serif 4"/>
                <w:color w:val="5A6167"/>
                <w:sz w:val="18"/>
                <w:szCs w:val="18"/>
              </w:rPr>
              <w:t xml:space="preserve">A score. A rank. A flag. An eligibility result. A shortlist. A recommendation. A draft. A calculation. If the program produces nothing that reaches this decision, limb (a) is not met.</w:t>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Pr>
        <w:tc>
          <w:tcPr>
            <w:tcW w:type="dxa" w:w="720"/>
            <w:tcBorders>
              <w:top w:val="single" w:color="DDDEDB" w:sz="2"/>
              <w:left w:val="none" w:color="auto" w:sz="0"/>
              <w:bottom w:val="none" w:color="auto" w:sz="0"/>
              <w:right w:val="none" w:color="auto" w:sz="0"/>
            </w:tcBorders>
            <w:tcMar>
              <w:top w:type="dxa" w:w="105"/>
              <w:left w:type="dxa" w:w="0"/>
              <w:bottom w:type="dxa" w:w="100"/>
              <w:right w:type="dxa" w:w="0"/>
            </w:tcMar>
          </w:tcPr>
          <w:p>
            <w:r>
              <w:rPr>
                <w:rFonts w:ascii="Schibsted Grotesk" w:cs="Schibsted Grotesk" w:eastAsia="Schibsted Grotesk" w:hAnsi="Schibsted Grotesk"/>
                <w:b/>
                <w:bCs/>
                <w:color w:val="686F75"/>
                <w:sz w:val="16"/>
                <w:szCs w:val="16"/>
              </w:rPr>
              <w:t xml:space="preserve">04</w:t>
            </w:r>
          </w:p>
        </w:tc>
        <w:tc>
          <w:tcPr>
            <w:tcW w:type="dxa" w:w="8306"/>
            <w:tcBorders>
              <w:top w:val="single" w:color="DDDEDB" w:sz="2"/>
              <w:left w:val="none" w:color="auto" w:sz="0"/>
              <w:bottom w:val="none" w:color="auto" w:sz="0"/>
              <w:right w:val="none" w:color="auto" w:sz="0"/>
            </w:tcBorders>
            <w:tcMar>
              <w:top w:type="dxa" w:w="105"/>
              <w:left w:type="dxa" w:w="0"/>
              <w:bottom w:type="dxa" w:w="100"/>
              <w:right w:type="dxa" w:w="0"/>
            </w:tcMar>
          </w:tcPr>
          <w:p>
            <w:pPr>
              <w:spacing w:after="45"/>
            </w:pPr>
            <w:r>
              <w:rPr>
                <w:rFonts w:ascii="Schibsted Grotesk" w:cs="Schibsted Grotesk" w:eastAsia="Schibsted Grotesk" w:hAnsi="Schibsted Grotesk"/>
                <w:b/>
                <w:bCs/>
                <w:color w:val="14161A"/>
                <w:sz w:val="21"/>
                <w:szCs w:val="21"/>
              </w:rPr>
              <w:t xml:space="preserve">Is that output </w:t>
            </w:r>
            <w:r>
              <w:rPr>
                <w:rFonts w:ascii="Schibsted Grotesk" w:cs="Schibsted Grotesk" w:eastAsia="Schibsted Grotesk" w:hAnsi="Schibsted Grotesk"/>
                <w:b/>
                <w:bCs/>
                <w:i/>
                <w:iCs/>
                <w:color w:val="14161A"/>
                <w:sz w:val="21"/>
                <w:szCs w:val="21"/>
              </w:rPr>
              <w:t xml:space="preserve">directly</w:t>
            </w:r>
            <w:r>
              <w:rPr>
                <w:rFonts w:ascii="Schibsted Grotesk" w:cs="Schibsted Grotesk" w:eastAsia="Schibsted Grotesk" w:hAnsi="Schibsted Grotesk"/>
                <w:b/>
                <w:bCs/>
                <w:color w:val="14161A"/>
                <w:sz w:val="21"/>
                <w:szCs w:val="21"/>
              </w:rPr>
              <w:t xml:space="preserve"> related to the decision?</w:t>
            </w:r>
          </w:p>
          <w:p>
            <w:r>
              <w:rPr>
                <w:rFonts w:ascii="Source Serif 4" w:cs="Source Serif 4" w:eastAsia="Source Serif 4" w:hAnsi="Source Serif 4"/>
                <w:color w:val="5A6167"/>
                <w:sz w:val="18"/>
                <w:szCs w:val="18"/>
              </w:rPr>
              <w:t xml:space="preserve">The Explanatory Memorandum, as the OAIC quotes it, reads directly as “where the thing has a direct connection with making the decision”. Ask what sits between the output and the decision. If the answer is nothing, it is direct.</w:t>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Pr>
        <w:tc>
          <w:tcPr>
            <w:tcW w:type="dxa" w:w="720"/>
            <w:tcBorders>
              <w:top w:val="single" w:color="DDDEDB" w:sz="2"/>
              <w:left w:val="none" w:color="auto" w:sz="0"/>
              <w:bottom w:val="none" w:color="auto" w:sz="0"/>
              <w:right w:val="none" w:color="auto" w:sz="0"/>
            </w:tcBorders>
            <w:tcMar>
              <w:top w:type="dxa" w:w="105"/>
              <w:left w:type="dxa" w:w="0"/>
              <w:bottom w:type="dxa" w:w="100"/>
              <w:right w:type="dxa" w:w="0"/>
            </w:tcMar>
          </w:tcPr>
          <w:p>
            <w:r>
              <w:rPr>
                <w:rFonts w:ascii="Schibsted Grotesk" w:cs="Schibsted Grotesk" w:eastAsia="Schibsted Grotesk" w:hAnsi="Schibsted Grotesk"/>
                <w:b/>
                <w:bCs/>
                <w:color w:val="686F75"/>
                <w:sz w:val="16"/>
                <w:szCs w:val="16"/>
              </w:rPr>
              <w:t xml:space="preserve">05</w:t>
            </w:r>
          </w:p>
        </w:tc>
        <w:tc>
          <w:tcPr>
            <w:tcW w:type="dxa" w:w="8306"/>
            <w:tcBorders>
              <w:top w:val="single" w:color="DDDEDB" w:sz="2"/>
              <w:left w:val="none" w:color="auto" w:sz="0"/>
              <w:bottom w:val="none" w:color="auto" w:sz="0"/>
              <w:right w:val="none" w:color="auto" w:sz="0"/>
            </w:tcBorders>
            <w:tcMar>
              <w:top w:type="dxa" w:w="105"/>
              <w:left w:type="dxa" w:w="0"/>
              <w:bottom w:type="dxa" w:w="100"/>
              <w:right w:type="dxa" w:w="0"/>
            </w:tcMar>
          </w:tcPr>
          <w:p>
            <w:pPr>
              <w:spacing w:after="45"/>
            </w:pPr>
            <w:r>
              <w:rPr>
                <w:rFonts w:ascii="Schibsted Grotesk" w:cs="Schibsted Grotesk" w:eastAsia="Schibsted Grotesk" w:hAnsi="Schibsted Grotesk"/>
                <w:b/>
                <w:bCs/>
                <w:color w:val="14161A"/>
                <w:sz w:val="21"/>
                <w:szCs w:val="21"/>
              </w:rPr>
              <w:t xml:space="preserve">Is that output </w:t>
            </w:r>
            <w:r>
              <w:rPr>
                <w:rFonts w:ascii="Schibsted Grotesk" w:cs="Schibsted Grotesk" w:eastAsia="Schibsted Grotesk" w:hAnsi="Schibsted Grotesk"/>
                <w:b/>
                <w:bCs/>
                <w:i/>
                <w:iCs/>
                <w:color w:val="14161A"/>
                <w:sz w:val="21"/>
                <w:szCs w:val="21"/>
              </w:rPr>
              <w:t xml:space="preserve">substantially</w:t>
            </w:r>
            <w:r>
              <w:rPr>
                <w:rFonts w:ascii="Schibsted Grotesk" w:cs="Schibsted Grotesk" w:eastAsia="Schibsted Grotesk" w:hAnsi="Schibsted Grotesk"/>
                <w:b/>
                <w:bCs/>
                <w:color w:val="14161A"/>
                <w:sz w:val="21"/>
                <w:szCs w:val="21"/>
              </w:rPr>
              <w:t xml:space="preserve"> related to the decision?</w:t>
            </w:r>
          </w:p>
          <w:p>
            <w:r>
              <w:rPr>
                <w:rFonts w:ascii="Source Serif 4" w:cs="Source Serif 4" w:eastAsia="Source Serif 4" w:hAnsi="Source Serif 4"/>
                <w:color w:val="5A6167"/>
                <w:sz w:val="18"/>
                <w:szCs w:val="18"/>
              </w:rPr>
              <w:t xml:space="preserve">The Explanatory Memorandum, as the OAIC quotes it, reads substantially as “where it is a key factor in facilitating the human’s decision making”. The working question: if the output were removed, or reversed, would the decision routinely change? Routinely means as a matter of course, not once in a hundred files.</w:t>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Pr>
        <w:tc>
          <w:tcPr>
            <w:tcW w:type="dxa" w:w="720"/>
            <w:tcBorders>
              <w:top w:val="single" w:color="DDDEDB" w:sz="2"/>
              <w:left w:val="none" w:color="auto" w:sz="0"/>
              <w:bottom w:val="none" w:color="auto" w:sz="0"/>
              <w:right w:val="none" w:color="auto" w:sz="0"/>
            </w:tcBorders>
            <w:tcMar>
              <w:top w:type="dxa" w:w="105"/>
              <w:left w:type="dxa" w:w="0"/>
              <w:bottom w:type="dxa" w:w="100"/>
              <w:right w:type="dxa" w:w="0"/>
            </w:tcMar>
          </w:tcPr>
          <w:p>
            <w:r>
              <w:rPr>
                <w:rFonts w:ascii="Schibsted Grotesk" w:cs="Schibsted Grotesk" w:eastAsia="Schibsted Grotesk" w:hAnsi="Schibsted Grotesk"/>
                <w:b/>
                <w:bCs/>
                <w:color w:val="686F75"/>
                <w:sz w:val="16"/>
                <w:szCs w:val="16"/>
              </w:rPr>
              <w:t xml:space="preserve">06</w:t>
            </w:r>
          </w:p>
        </w:tc>
        <w:tc>
          <w:tcPr>
            <w:tcW w:type="dxa" w:w="8306"/>
            <w:tcBorders>
              <w:top w:val="single" w:color="DDDEDB" w:sz="2"/>
              <w:left w:val="none" w:color="auto" w:sz="0"/>
              <w:bottom w:val="none" w:color="auto" w:sz="0"/>
              <w:right w:val="none" w:color="auto" w:sz="0"/>
            </w:tcBorders>
            <w:tcMar>
              <w:top w:type="dxa" w:w="105"/>
              <w:left w:type="dxa" w:w="0"/>
              <w:bottom w:type="dxa" w:w="100"/>
              <w:right w:type="dxa" w:w="0"/>
            </w:tcMar>
          </w:tcPr>
          <w:p>
            <w:pPr>
              <w:spacing w:after="45"/>
            </w:pPr>
            <w:r>
              <w:rPr>
                <w:rFonts w:ascii="Schibsted Grotesk" w:cs="Schibsted Grotesk" w:eastAsia="Schibsted Grotesk" w:hAnsi="Schibsted Grotesk"/>
                <w:b/>
                <w:bCs/>
                <w:color w:val="14161A"/>
                <w:sz w:val="21"/>
                <w:szCs w:val="21"/>
              </w:rPr>
              <w:t xml:space="preserve">Both, or neither.</w:t>
            </w:r>
          </w:p>
          <w:p>
            <w:r>
              <w:rPr>
                <w:rFonts w:ascii="Source Serif 4" w:cs="Source Serif 4" w:eastAsia="Source Serif 4" w:hAnsi="Source Serif 4"/>
                <w:color w:val="5A6167"/>
                <w:sz w:val="18"/>
                <w:szCs w:val="18"/>
              </w:rPr>
              <w:t xml:space="preserve">Limb (a) is met only where step 04 and step 05 are both yes. Directly related on its own is not enough, and that is where most assessments go wrong.</w:t>
            </w:r>
          </w:p>
        </w:tc>
      </w:tr>
    </w:tbl>
    <w:p>
      <w:pPr>
        <w:pBdr>
          <w:top w:val="single" w:color="DDDEDB" w:sz="2"/>
        </w:pBdr>
        <w:spacing w:after="0" w:before="170"/>
      </w:pPr>
      <w:r>
        <w:rPr>
          <w:rFonts w:ascii="Schibsted Grotesk" w:cs="Schibsted Grotesk" w:eastAsia="Schibsted Grotesk" w:hAnsi="Schibsted Grotesk"/>
          <w:b/>
          <w:bCs/>
          <w:color w:val="14161A"/>
          <w:sz w:val="16"/>
          <w:szCs w:val="16"/>
        </w:rPr>
        <w:t xml:space="preserve">Two points the Act settles for you. </w:t>
      </w:r>
      <w:r>
        <w:rPr>
          <w:rFonts w:ascii="Schibsted Grotesk" w:cs="Schibsted Grotesk" w:eastAsia="Schibsted Grotesk" w:hAnsi="Schibsted Grotesk"/>
          <w:color w:val="5A6167"/>
          <w:sz w:val="16"/>
          <w:szCs w:val="16"/>
        </w:rPr>
        <w:t xml:space="preserve">APP 1.9 provides that making a decision includes refusing or failing to make one, and that doing a thing includes refusing or failing to do it. A program that does not flag, does not escalate or does not return a result is still doing a thing.</w:t>
      </w:r>
    </w:p>
    <w:p>
      <w:pPr>
        <w:pageBreakBefore/>
        <w:spacing w:after="110" w:before="0"/>
      </w:pPr>
      <w:r>
        <w:rPr>
          <w:rFonts w:ascii="Schibsted Grotesk" w:cs="Schibsted Grotesk" w:eastAsia="Schibsted Grotesk" w:hAnsi="Schibsted Grotesk"/>
          <w:b/>
          <w:bCs/>
          <w:color w:val="686F75"/>
          <w:spacing w:val="34"/>
          <w:sz w:val="14"/>
          <w:szCs w:val="14"/>
        </w:rPr>
        <w:t xml:space="preserve">BEFORE YOU SCOPE IT  ·  TWO THINGS THAT DECIDE HOW BIG THIS IS</w:t>
      </w:r>
    </w:p>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4513"/>
        <w:gridCol w:w="4513"/>
      </w:tblGrid>
      <w:tr>
        <w:trPr>
          <w:cantSplit/>
        </w:trPr>
        <w:tc>
          <w:tcPr>
            <w:tcW w:type="dxa" w:w="4513"/>
            <w:tcBorders>
              <w:top w:val="single" w:color="DDDEDB" w:sz="2"/>
              <w:left w:val="none" w:color="auto" w:sz="0"/>
              <w:bottom w:val="none" w:color="auto" w:sz="0"/>
              <w:right w:val="single" w:color="DDDEDB" w:sz="2"/>
            </w:tcBorders>
            <w:tcMar>
              <w:top w:type="dxa" w:w="150"/>
              <w:left w:type="dxa" w:w="0"/>
              <w:bottom w:type="dxa" w:w="60"/>
              <w:right w:type="dxa" w:w="260"/>
            </w:tcMar>
            <w:vAlign w:val="top"/>
          </w:tcPr>
          <w:p>
            <w:pPr>
              <w:spacing w:after="70"/>
            </w:pPr>
            <w:r>
              <w:rPr>
                <w:rFonts w:ascii="Schibsted Grotesk" w:cs="Schibsted Grotesk" w:eastAsia="Schibsted Grotesk" w:hAnsi="Schibsted Grotesk"/>
                <w:b/>
                <w:bCs/>
                <w:color w:val="686F75"/>
                <w:spacing w:val="30"/>
                <w:sz w:val="13"/>
                <w:szCs w:val="13"/>
              </w:rPr>
              <w:t xml:space="preserve">01</w:t>
            </w:r>
          </w:p>
          <w:p>
            <w:pPr>
              <w:spacing w:after="80"/>
            </w:pPr>
            <w:r>
              <w:rPr>
                <w:rFonts w:ascii="Schibsted Grotesk" w:cs="Schibsted Grotesk" w:eastAsia="Schibsted Grotesk" w:hAnsi="Schibsted Grotesk"/>
                <w:b/>
                <w:bCs/>
                <w:color w:val="14161A"/>
                <w:sz w:val="19"/>
                <w:szCs w:val="19"/>
              </w:rPr>
              <w:t xml:space="preserve">Nothing is grandfathered</w:t>
            </w:r>
          </w:p>
          <w:p>
            <w:pPr>
              <w:spacing w:after="80"/>
            </w:pPr>
            <w:r>
              <w:rPr>
                <w:rFonts w:ascii="Source Serif 4" w:cs="Source Serif 4" w:eastAsia="Source Serif 4" w:hAnsi="Source Serif 4"/>
                <w:color w:val="5A6167"/>
                <w:sz w:val="18"/>
                <w:szCs w:val="18"/>
              </w:rPr>
              <w:t xml:space="preserve">The Act applies to decisions made after commencement whether the arrangement for the computer program was made, the personal information was used in it, or that personal information was acquired or created, before or after that date.</w:t>
            </w:r>
          </w:p>
          <w:p>
            <w:r>
              <w:rPr>
                <w:rFonts w:ascii="Schibsted Grotesk" w:cs="Schibsted Grotesk" w:eastAsia="Schibsted Grotesk" w:hAnsi="Schibsted Grotesk"/>
                <w:b/>
                <w:bCs/>
                <w:color w:val="14161A"/>
                <w:sz w:val="16"/>
                <w:szCs w:val="16"/>
              </w:rPr>
              <w:t xml:space="preserve">Every system already running is in scope from day one.</w:t>
            </w:r>
          </w:p>
        </w:tc>
        <w:tc>
          <w:tcPr>
            <w:tcW w:type="dxa" w:w="4513"/>
            <w:tcBorders>
              <w:top w:val="single" w:color="DDDEDB" w:sz="2"/>
              <w:left w:val="none" w:color="auto" w:sz="0"/>
              <w:bottom w:val="none" w:color="auto" w:sz="0"/>
              <w:right w:val="none" w:color="auto" w:sz="0"/>
            </w:tcBorders>
            <w:tcMar>
              <w:top w:type="dxa" w:w="150"/>
              <w:left w:type="dxa" w:w="260"/>
              <w:bottom w:type="dxa" w:w="60"/>
              <w:right w:type="dxa" w:w="0"/>
            </w:tcMar>
            <w:vAlign w:val="top"/>
          </w:tcPr>
          <w:p>
            <w:pPr>
              <w:spacing w:after="70"/>
            </w:pPr>
            <w:r>
              <w:rPr>
                <w:rFonts w:ascii="Schibsted Grotesk" w:cs="Schibsted Grotesk" w:eastAsia="Schibsted Grotesk" w:hAnsi="Schibsted Grotesk"/>
                <w:b/>
                <w:bCs/>
                <w:color w:val="686F75"/>
                <w:spacing w:val="30"/>
                <w:sz w:val="13"/>
                <w:szCs w:val="13"/>
              </w:rPr>
              <w:t xml:space="preserve">02</w:t>
            </w:r>
          </w:p>
          <w:p>
            <w:pPr>
              <w:spacing w:after="80"/>
            </w:pPr>
            <w:r>
              <w:rPr>
                <w:rFonts w:ascii="Schibsted Grotesk" w:cs="Schibsted Grotesk" w:eastAsia="Schibsted Grotesk" w:hAnsi="Schibsted Grotesk"/>
                <w:b/>
                <w:bCs/>
                <w:color w:val="14161A"/>
                <w:sz w:val="19"/>
                <w:szCs w:val="19"/>
              </w:rPr>
              <w:t xml:space="preserve">It is enforceable from day one</w:t>
            </w:r>
          </w:p>
          <w:p>
            <w:pPr>
              <w:spacing w:after="80"/>
            </w:pPr>
            <w:r>
              <w:rPr>
                <w:rFonts w:ascii="Source Serif 4" w:cs="Source Serif 4" w:eastAsia="Source Serif 4" w:hAnsi="Source Serif 4"/>
                <w:color w:val="5A6167"/>
                <w:sz w:val="18"/>
                <w:szCs w:val="18"/>
              </w:rPr>
              <w:t xml:space="preserve">The same Part adds APP 1.7 by name to the list in section 13K(1)(b) of the Privacy Act, immediately after APP 1.4. From commencement, a privacy policy that omits the required information contravenes section 13K(1).</w:t>
            </w:r>
          </w:p>
          <w:p>
            <w:r>
              <w:rPr>
                <w:rFonts w:ascii="Schibsted Grotesk" w:cs="Schibsted Grotesk" w:eastAsia="Schibsted Grotesk" w:hAnsi="Schibsted Grotesk"/>
                <w:b/>
                <w:bCs/>
                <w:color w:val="14161A"/>
                <w:sz w:val="16"/>
                <w:szCs w:val="16"/>
              </w:rPr>
              <w:t xml:space="preserve">Section 13K itself has been in force since 11 December 2024.</w:t>
            </w:r>
          </w:p>
        </w:tc>
      </w:tr>
    </w:tbl>
    <w:p>
      <w:pPr>
        <w:spacing w:after="110" w:before="300"/>
      </w:pPr>
      <w:r>
        <w:rPr>
          <w:rFonts w:ascii="Schibsted Grotesk" w:cs="Schibsted Grotesk" w:eastAsia="Schibsted Grotesk" w:hAnsi="Schibsted Grotesk"/>
          <w:b/>
          <w:bCs/>
          <w:color w:val="686F75"/>
          <w:spacing w:val="34"/>
          <w:sz w:val="14"/>
          <w:szCs w:val="14"/>
        </w:rPr>
        <w:t xml:space="preserve">CALIBRATION  ·  THE REGULATOR’S OWN TWO EXAMPLES</w:t>
      </w:r>
    </w:p>
    <w:p>
      <w:pPr>
        <w:spacing w:after="60"/>
      </w:pPr>
      <w:r>
        <w:rPr>
          <w:rFonts w:ascii="Source Serif 4" w:cs="Source Serif 4" w:eastAsia="Source Serif 4" w:hAnsi="Source Serif 4"/>
          <w:color w:val="5A6167"/>
          <w:sz w:val="19"/>
          <w:szCs w:val="19"/>
        </w:rPr>
        <w:t xml:space="preserve">Both are a formula in a spreadsheet. One is inside the obligation and one is outside it, and the difference is not the technology.</w:t>
      </w:r>
    </w:p>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4513"/>
        <w:gridCol w:w="4513"/>
      </w:tblGrid>
      <w:tr>
        <w:trPr>
          <w:cantSplit/>
        </w:trPr>
        <w:tc>
          <w:tcPr>
            <w:tcW w:type="dxa" w:w="4513"/>
            <w:tcBorders>
              <w:top w:val="single" w:color="DDDEDB" w:sz="2"/>
              <w:left w:val="none" w:color="auto" w:sz="0"/>
              <w:bottom w:val="none" w:color="auto" w:sz="0"/>
              <w:right w:val="single" w:color="DDDEDB" w:sz="2"/>
            </w:tcBorders>
            <w:tcMar>
              <w:top w:type="dxa" w:w="150"/>
              <w:left w:type="dxa" w:w="0"/>
              <w:bottom w:type="dxa" w:w="60"/>
              <w:right w:type="dxa" w:w="260"/>
            </w:tcMar>
            <w:vAlign w:val="top"/>
          </w:tcPr>
          <w:p>
            <w:pPr>
              <w:spacing w:after="70"/>
            </w:pPr>
            <w:r>
              <w:rPr>
                <w:rFonts w:ascii="Schibsted Grotesk" w:cs="Schibsted Grotesk" w:eastAsia="Schibsted Grotesk" w:hAnsi="Schibsted Grotesk"/>
                <w:b/>
                <w:bCs/>
                <w:color w:val="686F75"/>
                <w:spacing w:val="30"/>
                <w:sz w:val="13"/>
                <w:szCs w:val="13"/>
              </w:rPr>
              <w:t xml:space="preserve">IN SCOPE</w:t>
            </w:r>
          </w:p>
          <w:p>
            <w:pPr>
              <w:spacing w:after="80"/>
            </w:pPr>
            <w:r>
              <w:rPr>
                <w:rFonts w:ascii="Schibsted Grotesk" w:cs="Schibsted Grotesk" w:eastAsia="Schibsted Grotesk" w:hAnsi="Schibsted Grotesk"/>
                <w:b/>
                <w:bCs/>
                <w:color w:val="14161A"/>
                <w:sz w:val="19"/>
                <w:szCs w:val="19"/>
              </w:rPr>
              <w:t xml:space="preserve">Scoring calls to a crisis hotline</w:t>
            </w:r>
          </w:p>
          <w:p>
            <w:pPr>
              <w:spacing w:after="80"/>
            </w:pPr>
            <w:r>
              <w:rPr>
                <w:rFonts w:ascii="Source Serif 4" w:cs="Source Serif 4" w:eastAsia="Source Serif 4" w:hAnsi="Source Serif 4"/>
                <w:color w:val="5A6167"/>
                <w:sz w:val="18"/>
                <w:szCs w:val="18"/>
              </w:rPr>
              <w:t xml:space="preserve">A pre-programmed formula used to score and triage people calling a domestic violence crisis hotline, where the score is a key factor in a person deciding what order to attend calls.</w:t>
            </w:r>
          </w:p>
          <w:p>
            <w:r>
              <w:rPr>
                <w:rFonts w:ascii="Schibsted Grotesk" w:cs="Schibsted Grotesk" w:eastAsia="Schibsted Grotesk" w:hAnsi="Schibsted Grotesk"/>
                <w:b/>
                <w:bCs/>
                <w:color w:val="14161A"/>
                <w:sz w:val="16"/>
                <w:szCs w:val="16"/>
              </w:rPr>
              <w:t xml:space="preserve">Directly related, and substantially related. Limb (a) met.</w:t>
            </w:r>
          </w:p>
        </w:tc>
        <w:tc>
          <w:tcPr>
            <w:tcW w:type="dxa" w:w="4513"/>
            <w:tcBorders>
              <w:top w:val="single" w:color="DDDEDB" w:sz="2"/>
              <w:left w:val="none" w:color="auto" w:sz="0"/>
              <w:bottom w:val="none" w:color="auto" w:sz="0"/>
              <w:right w:val="none" w:color="auto" w:sz="0"/>
            </w:tcBorders>
            <w:tcMar>
              <w:top w:type="dxa" w:w="150"/>
              <w:left w:type="dxa" w:w="260"/>
              <w:bottom w:type="dxa" w:w="60"/>
              <w:right w:type="dxa" w:w="0"/>
            </w:tcMar>
            <w:vAlign w:val="top"/>
          </w:tcPr>
          <w:p>
            <w:pPr>
              <w:spacing w:after="70"/>
            </w:pPr>
            <w:r>
              <w:rPr>
                <w:rFonts w:ascii="Schibsted Grotesk" w:cs="Schibsted Grotesk" w:eastAsia="Schibsted Grotesk" w:hAnsi="Schibsted Grotesk"/>
                <w:b/>
                <w:bCs/>
                <w:color w:val="686F75"/>
                <w:spacing w:val="30"/>
                <w:sz w:val="13"/>
                <w:szCs w:val="13"/>
              </w:rPr>
              <w:t xml:space="preserve">NOT “SUBSTANTIALLY”</w:t>
            </w:r>
          </w:p>
          <w:p>
            <w:pPr>
              <w:spacing w:after="80"/>
            </w:pPr>
            <w:r>
              <w:rPr>
                <w:rFonts w:ascii="Schibsted Grotesk" w:cs="Schibsted Grotesk" w:eastAsia="Schibsted Grotesk" w:hAnsi="Schibsted Grotesk"/>
                <w:b/>
                <w:bCs/>
                <w:color w:val="14161A"/>
                <w:sz w:val="19"/>
                <w:szCs w:val="19"/>
              </w:rPr>
              <w:t xml:space="preserve">Working out an age from a date of birth</w:t>
            </w:r>
          </w:p>
          <w:p>
            <w:pPr>
              <w:spacing w:after="80"/>
            </w:pPr>
            <w:r>
              <w:rPr>
                <w:rFonts w:ascii="Source Serif 4" w:cs="Source Serif 4" w:eastAsia="Source Serif 4" w:hAnsi="Source Serif 4"/>
                <w:color w:val="5A6167"/>
                <w:sz w:val="18"/>
                <w:szCs w:val="18"/>
              </w:rPr>
              <w:t xml:space="preserve">The same kind of formula, used only to arrive at an age in years from a date of birth entered into the spreadsheet.</w:t>
            </w:r>
          </w:p>
          <w:p>
            <w:r>
              <w:rPr>
                <w:rFonts w:ascii="Schibsted Grotesk" w:cs="Schibsted Grotesk" w:eastAsia="Schibsted Grotesk" w:hAnsi="Schibsted Grotesk"/>
                <w:b/>
                <w:bCs/>
                <w:color w:val="14161A"/>
                <w:sz w:val="16"/>
                <w:szCs w:val="16"/>
              </w:rPr>
              <w:t xml:space="preserve">May be directly related. Not substantially related. Limb (a) not met.</w:t>
            </w:r>
          </w:p>
        </w:tc>
      </w:tr>
    </w:tbl>
    <w:p>
      <w:pPr>
        <w:spacing w:after="0" w:before="200"/>
      </w:pPr>
      <w:r>
        <w:rPr>
          <w:rFonts w:ascii="Schibsted Grotesk" w:cs="Schibsted Grotesk" w:eastAsia="Schibsted Grotesk" w:hAnsi="Schibsted Grotesk"/>
          <w:b/>
          <w:bCs/>
          <w:color w:val="14161A"/>
          <w:sz w:val="32"/>
          <w:szCs w:val="32"/>
        </w:rPr>
        <w:t xml:space="preserve">The worksheet.</w:t>
      </w:r>
    </w:p>
    <w:p>
      <w:pPr>
        <w:pBdr>
          <w:bottom w:val="single" w:color="14161A" w:sz="8" w:space="10"/>
        </w:pBdr>
        <w:spacing w:after="200" w:before="110"/>
      </w:pPr>
      <w:r>
        <w:rPr>
          <w:rFonts w:ascii="Source Serif 4" w:cs="Source Serif 4" w:eastAsia="Source Serif 4" w:hAnsi="Source Serif 4"/>
          <w:color w:val="14161A"/>
          <w:sz w:val="21"/>
          <w:szCs w:val="21"/>
        </w:rPr>
        <w:t xml:space="preserve">One row per decision. The answer is not the evidence. The reasoning is, because an assessment nobody can retrace cannot be relied on later.</w:t>
      </w:r>
    </w:p>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Height w:val="760" w:hRule="atLeast"/>
        </w:trPr>
        <w:tc>
          <w:tcPr>
            <w:tcW w:type="dxa" w:w="720"/>
            <w:tcBorders>
              <w:top w:val="single" w:color="DDDEDB" w:sz="2"/>
              <w:left w:val="none" w:color="auto" w:sz="0"/>
              <w:bottom w:val="none" w:color="auto" w:sz="0"/>
              <w:right w:val="none" w:color="auto" w:sz="0"/>
            </w:tcBorders>
            <w:tcMar>
              <w:top w:type="dxa" w:w="130"/>
              <w:left w:type="dxa" w:w="0"/>
              <w:bottom w:type="dxa" w:w="130"/>
              <w:right w:type="dxa" w:w="0"/>
            </w:tcMar>
          </w:tcPr>
          <w:p>
            <w:r>
              <w:rPr>
                <w:rFonts w:ascii="Schibsted Grotesk" w:cs="Schibsted Grotesk" w:eastAsia="Schibsted Grotesk" w:hAnsi="Schibsted Grotesk"/>
                <w:b/>
                <w:bCs/>
                <w:color w:val="686F75"/>
                <w:sz w:val="16"/>
                <w:szCs w:val="16"/>
              </w:rPr>
              <w:t xml:space="preserve">01</w:t>
            </w:r>
          </w:p>
        </w:tc>
        <w:tc>
          <w:tcPr>
            <w:tcW w:type="dxa" w:w="8306"/>
            <w:tcBorders>
              <w:top w:val="single" w:color="DDDEDB" w:sz="2"/>
              <w:left w:val="none" w:color="auto" w:sz="0"/>
              <w:bottom w:val="none" w:color="auto" w:sz="0"/>
              <w:right w:val="none" w:color="auto" w:sz="0"/>
            </w:tcBorders>
            <w:tcMar>
              <w:top w:type="dxa" w:w="130"/>
              <w:left w:type="dxa" w:w="0"/>
              <w:bottom w:type="dxa" w:w="130"/>
              <w:right w:type="dxa" w:w="0"/>
            </w:tcMar>
          </w:tcPr>
          <w:p>
            <w:pPr>
              <w:spacing w:after="90"/>
            </w:pPr>
            <w:r>
              <w:rPr>
                <w:rFonts w:ascii="Schibsted Grotesk" w:cs="Schibsted Grotesk" w:eastAsia="Schibsted Grotesk" w:hAnsi="Schibsted Grotesk"/>
                <w:b/>
                <w:bCs/>
                <w:color w:val="14161A"/>
                <w:sz w:val="18"/>
                <w:szCs w:val="18"/>
              </w:rPr>
              <w:t xml:space="preserve">The decision, in one sentence</w:t>
            </w:r>
          </w:p>
          <w:p>
            <w:r>
              <w:rPr>
                <w:rFonts w:ascii="Source Serif 4" w:cs="Source Serif 4" w:eastAsia="Source Serif 4" w:hAnsi="Source Serif 4"/>
                <w:color w:val="14161A"/>
                <w:sz w:val="20"/>
                <w:szCs w:val="20"/>
              </w:rPr>
              <w:t xml:space="preserve"/>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Height w:val="760" w:hRule="atLeast"/>
        </w:trPr>
        <w:tc>
          <w:tcPr>
            <w:tcW w:type="dxa" w:w="720"/>
            <w:tcBorders>
              <w:top w:val="single" w:color="DDDEDB" w:sz="2"/>
              <w:left w:val="none" w:color="auto" w:sz="0"/>
              <w:bottom w:val="none" w:color="auto" w:sz="0"/>
              <w:right w:val="none" w:color="auto" w:sz="0"/>
            </w:tcBorders>
            <w:tcMar>
              <w:top w:type="dxa" w:w="130"/>
              <w:left w:type="dxa" w:w="0"/>
              <w:bottom w:type="dxa" w:w="130"/>
              <w:right w:type="dxa" w:w="0"/>
            </w:tcMar>
          </w:tcPr>
          <w:p>
            <w:r>
              <w:rPr>
                <w:rFonts w:ascii="Schibsted Grotesk" w:cs="Schibsted Grotesk" w:eastAsia="Schibsted Grotesk" w:hAnsi="Schibsted Grotesk"/>
                <w:b/>
                <w:bCs/>
                <w:color w:val="686F75"/>
                <w:sz w:val="16"/>
                <w:szCs w:val="16"/>
              </w:rPr>
              <w:t xml:space="preserve">02</w:t>
            </w:r>
          </w:p>
        </w:tc>
        <w:tc>
          <w:tcPr>
            <w:tcW w:type="dxa" w:w="8306"/>
            <w:tcBorders>
              <w:top w:val="single" w:color="DDDEDB" w:sz="2"/>
              <w:left w:val="none" w:color="auto" w:sz="0"/>
              <w:bottom w:val="none" w:color="auto" w:sz="0"/>
              <w:right w:val="none" w:color="auto" w:sz="0"/>
            </w:tcBorders>
            <w:tcMar>
              <w:top w:type="dxa" w:w="130"/>
              <w:left w:type="dxa" w:w="0"/>
              <w:bottom w:type="dxa" w:w="130"/>
              <w:right w:type="dxa" w:w="0"/>
            </w:tcMar>
          </w:tcPr>
          <w:p>
            <w:pPr>
              <w:spacing w:after="90"/>
            </w:pPr>
            <w:r>
              <w:rPr>
                <w:rFonts w:ascii="Schibsted Grotesk" w:cs="Schibsted Grotesk" w:eastAsia="Schibsted Grotesk" w:hAnsi="Schibsted Grotesk"/>
                <w:b/>
                <w:bCs/>
                <w:color w:val="14161A"/>
                <w:sz w:val="18"/>
                <w:szCs w:val="18"/>
              </w:rPr>
              <w:t xml:space="preserve">The system, and what it produces</w:t>
            </w:r>
          </w:p>
          <w:p>
            <w:r>
              <w:rPr>
                <w:rFonts w:ascii="Source Serif 4" w:cs="Source Serif 4" w:eastAsia="Source Serif 4" w:hAnsi="Source Serif 4"/>
                <w:color w:val="14161A"/>
                <w:sz w:val="20"/>
                <w:szCs w:val="20"/>
              </w:rPr>
              <w:t xml:space="preserve"/>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Height w:val="980" w:hRule="atLeast"/>
        </w:trPr>
        <w:tc>
          <w:tcPr>
            <w:tcW w:type="dxa" w:w="720"/>
            <w:tcBorders>
              <w:top w:val="single" w:color="DDDEDB" w:sz="2"/>
              <w:left w:val="none" w:color="auto" w:sz="0"/>
              <w:bottom w:val="none" w:color="auto" w:sz="0"/>
              <w:right w:val="none" w:color="auto" w:sz="0"/>
            </w:tcBorders>
            <w:tcMar>
              <w:top w:type="dxa" w:w="130"/>
              <w:left w:type="dxa" w:w="0"/>
              <w:bottom w:type="dxa" w:w="130"/>
              <w:right w:type="dxa" w:w="0"/>
            </w:tcMar>
          </w:tcPr>
          <w:p>
            <w:r>
              <w:rPr>
                <w:rFonts w:ascii="Schibsted Grotesk" w:cs="Schibsted Grotesk" w:eastAsia="Schibsted Grotesk" w:hAnsi="Schibsted Grotesk"/>
                <w:b/>
                <w:bCs/>
                <w:color w:val="686F75"/>
                <w:sz w:val="16"/>
                <w:szCs w:val="16"/>
              </w:rPr>
              <w:t xml:space="preserve">03</w:t>
            </w:r>
          </w:p>
        </w:tc>
        <w:tc>
          <w:tcPr>
            <w:tcW w:type="dxa" w:w="8306"/>
            <w:tcBorders>
              <w:top w:val="single" w:color="DDDEDB" w:sz="2"/>
              <w:left w:val="none" w:color="auto" w:sz="0"/>
              <w:bottom w:val="none" w:color="auto" w:sz="0"/>
              <w:right w:val="none" w:color="auto" w:sz="0"/>
            </w:tcBorders>
            <w:tcMar>
              <w:top w:type="dxa" w:w="130"/>
              <w:left w:type="dxa" w:w="0"/>
              <w:bottom w:type="dxa" w:w="130"/>
              <w:right w:type="dxa" w:w="0"/>
            </w:tcMar>
          </w:tcPr>
          <w:p>
            <w:pPr>
              <w:spacing w:after="90"/>
            </w:pPr>
            <w:r>
              <w:rPr>
                <w:rFonts w:ascii="Schibsted Grotesk" w:cs="Schibsted Grotesk" w:eastAsia="Schibsted Grotesk" w:hAnsi="Schibsted Grotesk"/>
                <w:b/>
                <w:bCs/>
                <w:color w:val="14161A"/>
                <w:sz w:val="18"/>
                <w:szCs w:val="18"/>
              </w:rPr>
              <w:t xml:space="preserve">Step 04  ·  directly related, and why</w:t>
            </w:r>
          </w:p>
          <w:p>
            <w:r>
              <w:rPr>
                <w:rFonts w:ascii="Source Serif 4" w:cs="Source Serif 4" w:eastAsia="Source Serif 4" w:hAnsi="Source Serif 4"/>
                <w:color w:val="14161A"/>
                <w:sz w:val="20"/>
                <w:szCs w:val="20"/>
              </w:rPr>
              <w:t xml:space="preserve"/>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Height w:val="980" w:hRule="atLeast"/>
        </w:trPr>
        <w:tc>
          <w:tcPr>
            <w:tcW w:type="dxa" w:w="720"/>
            <w:tcBorders>
              <w:top w:val="single" w:color="DDDEDB" w:sz="2"/>
              <w:left w:val="none" w:color="auto" w:sz="0"/>
              <w:bottom w:val="none" w:color="auto" w:sz="0"/>
              <w:right w:val="none" w:color="auto" w:sz="0"/>
            </w:tcBorders>
            <w:tcMar>
              <w:top w:type="dxa" w:w="130"/>
              <w:left w:type="dxa" w:w="0"/>
              <w:bottom w:type="dxa" w:w="130"/>
              <w:right w:type="dxa" w:w="0"/>
            </w:tcMar>
          </w:tcPr>
          <w:p>
            <w:r>
              <w:rPr>
                <w:rFonts w:ascii="Schibsted Grotesk" w:cs="Schibsted Grotesk" w:eastAsia="Schibsted Grotesk" w:hAnsi="Schibsted Grotesk"/>
                <w:b/>
                <w:bCs/>
                <w:color w:val="686F75"/>
                <w:sz w:val="16"/>
                <w:szCs w:val="16"/>
              </w:rPr>
              <w:t xml:space="preserve">04</w:t>
            </w:r>
          </w:p>
        </w:tc>
        <w:tc>
          <w:tcPr>
            <w:tcW w:type="dxa" w:w="8306"/>
            <w:tcBorders>
              <w:top w:val="single" w:color="DDDEDB" w:sz="2"/>
              <w:left w:val="none" w:color="auto" w:sz="0"/>
              <w:bottom w:val="none" w:color="auto" w:sz="0"/>
              <w:right w:val="none" w:color="auto" w:sz="0"/>
            </w:tcBorders>
            <w:tcMar>
              <w:top w:type="dxa" w:w="130"/>
              <w:left w:type="dxa" w:w="0"/>
              <w:bottom w:type="dxa" w:w="130"/>
              <w:right w:type="dxa" w:w="0"/>
            </w:tcMar>
          </w:tcPr>
          <w:p>
            <w:pPr>
              <w:spacing w:after="90"/>
            </w:pPr>
            <w:r>
              <w:rPr>
                <w:rFonts w:ascii="Schibsted Grotesk" w:cs="Schibsted Grotesk" w:eastAsia="Schibsted Grotesk" w:hAnsi="Schibsted Grotesk"/>
                <w:b/>
                <w:bCs/>
                <w:color w:val="14161A"/>
                <w:sz w:val="18"/>
                <w:szCs w:val="18"/>
              </w:rPr>
              <w:t xml:space="preserve">Step 05  ·  substantially related, and why</w:t>
            </w:r>
          </w:p>
          <w:p>
            <w:r>
              <w:rPr>
                <w:rFonts w:ascii="Source Serif 4" w:cs="Source Serif 4" w:eastAsia="Source Serif 4" w:hAnsi="Source Serif 4"/>
                <w:color w:val="14161A"/>
                <w:sz w:val="20"/>
                <w:szCs w:val="20"/>
              </w:rPr>
              <w:t xml:space="preserve"/>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Height w:val="520" w:hRule="atLeast"/>
        </w:trPr>
        <w:tc>
          <w:tcPr>
            <w:tcW w:type="dxa" w:w="720"/>
            <w:tcBorders>
              <w:top w:val="single" w:color="DDDEDB" w:sz="2"/>
              <w:left w:val="none" w:color="auto" w:sz="0"/>
              <w:bottom w:val="none" w:color="auto" w:sz="0"/>
              <w:right w:val="none" w:color="auto" w:sz="0"/>
            </w:tcBorders>
            <w:tcMar>
              <w:top w:type="dxa" w:w="130"/>
              <w:left w:type="dxa" w:w="0"/>
              <w:bottom w:type="dxa" w:w="130"/>
              <w:right w:type="dxa" w:w="0"/>
            </w:tcMar>
          </w:tcPr>
          <w:p>
            <w:r>
              <w:rPr>
                <w:rFonts w:ascii="Schibsted Grotesk" w:cs="Schibsted Grotesk" w:eastAsia="Schibsted Grotesk" w:hAnsi="Schibsted Grotesk"/>
                <w:b/>
                <w:bCs/>
                <w:color w:val="686F75"/>
                <w:sz w:val="16"/>
                <w:szCs w:val="16"/>
              </w:rPr>
              <w:t xml:space="preserve">05</w:t>
            </w:r>
          </w:p>
        </w:tc>
        <w:tc>
          <w:tcPr>
            <w:tcW w:type="dxa" w:w="8306"/>
            <w:tcBorders>
              <w:top w:val="single" w:color="DDDEDB" w:sz="2"/>
              <w:left w:val="none" w:color="auto" w:sz="0"/>
              <w:bottom w:val="none" w:color="auto" w:sz="0"/>
              <w:right w:val="none" w:color="auto" w:sz="0"/>
            </w:tcBorders>
            <w:tcMar>
              <w:top w:type="dxa" w:w="130"/>
              <w:left w:type="dxa" w:w="0"/>
              <w:bottom w:type="dxa" w:w="130"/>
              <w:right w:type="dxa" w:w="0"/>
            </w:tcMar>
          </w:tcPr>
          <w:p>
            <w:pPr>
              <w:spacing w:after="90"/>
            </w:pPr>
            <w:r>
              <w:rPr>
                <w:rFonts w:ascii="Schibsted Grotesk" w:cs="Schibsted Grotesk" w:eastAsia="Schibsted Grotesk" w:hAnsi="Schibsted Grotesk"/>
                <w:b/>
                <w:bCs/>
                <w:color w:val="14161A"/>
                <w:sz w:val="18"/>
                <w:szCs w:val="18"/>
              </w:rPr>
              <w:t xml:space="preserve">Limb (a) met, yes or no</w:t>
            </w:r>
          </w:p>
          <w:p>
            <w:r>
              <w:rPr>
                <w:rFonts w:ascii="Source Serif 4" w:cs="Source Serif 4" w:eastAsia="Source Serif 4" w:hAnsi="Source Serif 4"/>
                <w:color w:val="14161A"/>
                <w:sz w:val="20"/>
                <w:szCs w:val="20"/>
              </w:rPr>
              <w:t xml:space="preserve"/>
            </w:r>
          </w:p>
        </w:tc>
      </w:tr>
    </w:tbl>
    <w:tbl>
      <w:tblPr>
        <w:tblW w:type="dxa" w:w="9026"/>
        <w:tblBorders>
          <w:top w:val="none" w:color="auto" w:sz="0"/>
          <w:left w:val="none" w:color="auto" w:sz="0"/>
          <w:bottom w:val="none" w:color="auto" w:sz="0"/>
          <w:right w:val="none" w:color="auto" w:sz="0"/>
          <w:insideH w:val="none" w:color="auto" w:sz="0"/>
          <w:insideV w:val="none" w:color="auto" w:sz="0"/>
        </w:tblBorders>
      </w:tblPr>
      <w:tblGrid>
        <w:gridCol w:w="720"/>
        <w:gridCol w:w="8306"/>
      </w:tblGrid>
      <w:tr>
        <w:trPr>
          <w:cantSplit/>
          <w:trHeight w:val="520" w:hRule="atLeast"/>
        </w:trPr>
        <w:tc>
          <w:tcPr>
            <w:tcW w:type="dxa" w:w="720"/>
            <w:tcBorders>
              <w:top w:val="single" w:color="DDDEDB" w:sz="2"/>
              <w:left w:val="none" w:color="auto" w:sz="0"/>
              <w:bottom w:val="none" w:color="auto" w:sz="0"/>
              <w:right w:val="none" w:color="auto" w:sz="0"/>
            </w:tcBorders>
            <w:tcMar>
              <w:top w:type="dxa" w:w="130"/>
              <w:left w:type="dxa" w:w="0"/>
              <w:bottom w:type="dxa" w:w="130"/>
              <w:right w:type="dxa" w:w="0"/>
            </w:tcMar>
          </w:tcPr>
          <w:p>
            <w:r>
              <w:rPr>
                <w:rFonts w:ascii="Schibsted Grotesk" w:cs="Schibsted Grotesk" w:eastAsia="Schibsted Grotesk" w:hAnsi="Schibsted Grotesk"/>
                <w:b/>
                <w:bCs/>
                <w:color w:val="686F75"/>
                <w:sz w:val="16"/>
                <w:szCs w:val="16"/>
              </w:rPr>
              <w:t xml:space="preserve">06</w:t>
            </w:r>
          </w:p>
        </w:tc>
        <w:tc>
          <w:tcPr>
            <w:tcW w:type="dxa" w:w="8306"/>
            <w:tcBorders>
              <w:top w:val="single" w:color="DDDEDB" w:sz="2"/>
              <w:left w:val="none" w:color="auto" w:sz="0"/>
              <w:bottom w:val="none" w:color="auto" w:sz="0"/>
              <w:right w:val="none" w:color="auto" w:sz="0"/>
            </w:tcBorders>
            <w:tcMar>
              <w:top w:type="dxa" w:w="130"/>
              <w:left w:type="dxa" w:w="0"/>
              <w:bottom w:type="dxa" w:w="130"/>
              <w:right w:type="dxa" w:w="0"/>
            </w:tcMar>
          </w:tcPr>
          <w:p>
            <w:pPr>
              <w:spacing w:after="90"/>
            </w:pPr>
            <w:r>
              <w:rPr>
                <w:rFonts w:ascii="Schibsted Grotesk" w:cs="Schibsted Grotesk" w:eastAsia="Schibsted Grotesk" w:hAnsi="Schibsted Grotesk"/>
                <w:b/>
                <w:bCs/>
                <w:color w:val="14161A"/>
                <w:sz w:val="18"/>
                <w:szCs w:val="18"/>
              </w:rPr>
              <w:t xml:space="preserve">Assessed by, and the date</w:t>
            </w:r>
          </w:p>
          <w:p>
            <w:r>
              <w:rPr>
                <w:rFonts w:ascii="Source Serif 4" w:cs="Source Serif 4" w:eastAsia="Source Serif 4" w:hAnsi="Source Serif 4"/>
                <w:color w:val="14161A"/>
                <w:sz w:val="20"/>
                <w:szCs w:val="20"/>
              </w:rPr>
              <w:t xml:space="preserve"/>
            </w:r>
          </w:p>
        </w:tc>
      </w:tr>
    </w:tbl>
    <w:p>
      <w:pPr>
        <w:pBdr>
          <w:top w:val="single" w:color="DDDEDB" w:sz="2"/>
        </w:pBdr>
        <w:spacing w:after="0" w:before="0"/>
      </w:pPr>
    </w:p>
    <w:p>
      <w:pPr>
        <w:spacing w:after="95" w:before="250"/>
      </w:pPr>
      <w:r>
        <w:rPr>
          <w:rFonts w:ascii="Schibsted Grotesk" w:cs="Schibsted Grotesk" w:eastAsia="Schibsted Grotesk" w:hAnsi="Schibsted Grotesk"/>
          <w:b/>
          <w:bCs/>
          <w:color w:val="686F75"/>
          <w:spacing w:val="34"/>
          <w:sz w:val="14"/>
          <w:szCs w:val="14"/>
        </w:rPr>
        <w:t xml:space="preserve">READ IT YOURSELF</w:t>
      </w:r>
    </w:p>
    <w:p>
      <w:pPr>
        <w:spacing w:after="120"/>
      </w:pPr>
      <w:r>
        <w:rPr>
          <w:rFonts w:ascii="Schibsted Grotesk" w:cs="Schibsted Grotesk" w:eastAsia="Schibsted Grotesk" w:hAnsi="Schibsted Grotesk"/>
          <w:b/>
          <w:bCs/>
          <w:color w:val="14161A"/>
          <w:sz w:val="17"/>
          <w:szCs w:val="17"/>
        </w:rPr>
        <w:t xml:space="preserve">Privacy Act 1988 (Cth), Schedule 1, Australian Privacy Principle 1.7</w:t>
      </w:r>
      <w:r>
        <w:rPr>
          <w:rFonts w:ascii="Source Serif 4" w:cs="Source Serif 4" w:eastAsia="Source Serif 4" w:hAnsi="Source Serif 4"/>
          <w:color w:val="5A6167"/>
          <w:sz w:val="17"/>
          <w:szCs w:val="17"/>
        </w:rPr>
        <w:t xml:space="preserve">  ·  inserted by Schedule 1 Part 15 of the Privacy and Other Legislation Amendment Act 2024 (Cth). Commences 10 December 2026. The same Part carries the application provision at item 89 and the section 13K amendment at item 87. legislation.gov.au</w:t>
      </w:r>
    </w:p>
    <w:p>
      <w:pPr>
        <w:spacing w:after="120"/>
      </w:pPr>
      <w:r>
        <w:rPr>
          <w:rFonts w:ascii="Schibsted Grotesk" w:cs="Schibsted Grotesk" w:eastAsia="Schibsted Grotesk" w:hAnsi="Schibsted Grotesk"/>
          <w:b/>
          <w:bCs/>
          <w:color w:val="14161A"/>
          <w:sz w:val="17"/>
          <w:szCs w:val="17"/>
        </w:rPr>
        <w:t xml:space="preserve">Privacy Act 1988 (Cth), section 13K</w:t>
      </w:r>
      <w:r>
        <w:rPr>
          <w:rFonts w:ascii="Source Serif 4" w:cs="Source Serif 4" w:eastAsia="Source Serif 4" w:hAnsi="Source Serif 4"/>
          <w:color w:val="5A6167"/>
          <w:sz w:val="17"/>
          <w:szCs w:val="17"/>
        </w:rPr>
        <w:t xml:space="preserve">  ·  compilation No. 104, in force 4 June 2026. That compilation does not yet carry subparagraph (iia), because the amendment at Part 15 item 87 commences with the rest of the Part on 10 December 2026. Note the precision: APP 1.7 does not itself become a civil penalty provision. Section 13K(1) is the civil penalty provision, and breaching APP 1.7 becomes conduct that contravenes it. legislation.gov.au</w:t>
      </w:r>
    </w:p>
    <w:p>
      <w:pPr>
        <w:spacing w:after="120"/>
      </w:pPr>
      <w:r>
        <w:rPr>
          <w:rFonts w:ascii="Schibsted Grotesk" w:cs="Schibsted Grotesk" w:eastAsia="Schibsted Grotesk" w:hAnsi="Schibsted Grotesk"/>
          <w:b/>
          <w:bCs/>
          <w:color w:val="14161A"/>
          <w:sz w:val="17"/>
          <w:szCs w:val="17"/>
        </w:rPr>
        <w:t xml:space="preserve">The meaning of substantially and directly</w:t>
      </w:r>
      <w:r>
        <w:rPr>
          <w:rFonts w:ascii="Source Serif 4" w:cs="Source Serif 4" w:eastAsia="Source Serif 4" w:hAnsi="Source Serif 4"/>
          <w:color w:val="5A6167"/>
          <w:sz w:val="17"/>
          <w:szCs w:val="17"/>
        </w:rPr>
        <w:t xml:space="preserve">  ·  Explanatory Memorandum at [337], as quoted by the OAIC in its Automated Decision-Making Issues Paper, 18 May 2026, at page 12, which is also where both worked examples come from. We quote the OAIC quoting the Memorandum rather than the Memorandum itself, because the Bill carried three versions of it and paragraph numbering can differ between them. oaic.gov.au</w:t>
      </w:r>
    </w:p>
    <w:p>
      <w:pPr>
        <w:spacing w:after="110"/>
      </w:pPr>
      <w:r>
        <w:rPr>
          <w:rFonts w:ascii="Schibsted Grotesk" w:cs="Schibsted Grotesk" w:eastAsia="Schibsted Grotesk" w:hAnsi="Schibsted Grotesk"/>
          <w:color w:val="5A6167"/>
          <w:sz w:val="15"/>
          <w:szCs w:val="15"/>
        </w:rPr>
        <w:t xml:space="preserve">The OAIC’s guidance on these provisions is still in development. Its Issues Paper says it intends to release guidance by September 2026. This document states the position as at the verification date above and will be reissued when the guidance lands.</w:t>
      </w:r>
    </w:p>
    <w:p>
      <w:pPr>
        <w:pBdr>
          <w:top w:val="single" w:color="DDDEDB" w:sz="2" w:space="12"/>
        </w:pBdr>
        <w:spacing w:after="90" w:before="130"/>
      </w:pPr>
      <w:r>
        <w:rPr>
          <w:rFonts w:ascii="Schibsted Grotesk" w:cs="Schibsted Grotesk" w:eastAsia="Schibsted Grotesk" w:hAnsi="Schibsted Grotesk"/>
          <w:b/>
          <w:bCs/>
          <w:color w:val="14161A"/>
          <w:sz w:val="15"/>
          <w:szCs w:val="15"/>
        </w:rPr>
        <w:t xml:space="preserve">Scope. </w:t>
      </w:r>
      <w:r>
        <w:rPr>
          <w:rFonts w:ascii="Schibsted Grotesk" w:cs="Schibsted Grotesk" w:eastAsia="Schibsted Grotesk" w:hAnsi="Schibsted Grotesk"/>
          <w:color w:val="5A6167"/>
          <w:sz w:val="15"/>
          <w:szCs w:val="15"/>
        </w:rPr>
        <w:t xml:space="preserve">General information, current at the verification date. Not legal advice, and it does not guarantee compliance. Confirm the position for your own entity.</w:t>
      </w:r>
    </w:p>
    <w:p>
      <w:r>
        <w:rPr>
          <w:rFonts w:ascii="Schibsted Grotesk" w:cs="Schibsted Grotesk" w:eastAsia="Schibsted Grotesk" w:hAnsi="Schibsted Grotesk"/>
          <w:b/>
          <w:bCs/>
          <w:color w:val="14161A"/>
          <w:sz w:val="15"/>
          <w:szCs w:val="15"/>
        </w:rPr>
        <w:t xml:space="preserve">The full test, kept current, is at themyceliumgroup.com.au/limb-a</w:t>
      </w:r>
    </w:p>
    <w:sectPr>
      <w:headerReference w:type="default" r:id="rId7"/>
      <w:footerReference w:type="default" r:id="rId8"/>
      <w:pgSz w:w="11906" w:h="16838" w:orient="portrait"/>
      <w:pgMar w:top="1134" w:right="1020" w:bottom="998" w:left="1020" w:header="0" w:footer="40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EDB" w:sz="2" w:space="8"/>
      </w:pBdr>
      <w:spacing w:after="40"/>
    </w:pPr>
    <w:r>
      <w:rPr>
        <w:rFonts w:ascii="Schibsted Grotesk" w:cs="Schibsted Grotesk" w:eastAsia="Schibsted Grotesk" w:hAnsi="Schibsted Grotesk"/>
        <w:b/>
        <w:bCs/>
        <w:color w:val="14161A"/>
        <w:sz w:val="16"/>
        <w:szCs w:val="16"/>
      </w:rPr>
      <w:t xml:space="preserve">Myce</w:t>
    </w:r>
    <w:r>
      <w:rPr>
        <w:rFonts w:ascii="Schibsted Grotesk" w:cs="Schibsted Grotesk" w:eastAsia="Schibsted Grotesk" w:hAnsi="Schibsted Grotesk"/>
        <w:b w:val="false"/>
        <w:bCs w:val="false"/>
        <w:color w:val="686F75"/>
        <w:sz w:val="16"/>
        <w:szCs w:val="16"/>
      </w:rPr>
      <w:t xml:space="preserve">|</w:t>
    </w:r>
    <w:r>
      <w:rPr>
        <w:rFonts w:ascii="Schibsted Grotesk" w:cs="Schibsted Grotesk" w:eastAsia="Schibsted Grotesk" w:hAnsi="Schibsted Grotesk"/>
        <w:b/>
        <w:bCs/>
        <w:color w:val="14161A"/>
        <w:sz w:val="16"/>
        <w:szCs w:val="16"/>
      </w:rPr>
      <w:t xml:space="preserve">ium</w:t>
    </w:r>
    <w:r>
      <w:rPr>
        <w:rFonts w:ascii="Schibsted Grotesk" w:cs="Schibsted Grotesk" w:eastAsia="Schibsted Grotesk" w:hAnsi="Schibsted Grotesk"/>
        <w:color w:val="DDDEDB"/>
        <w:sz w:val="12"/>
        <w:szCs w:val="12"/>
      </w:rPr>
      <w:t xml:space="preserve">   ·   </w:t>
    </w:r>
    <w:r>
      <w:rPr>
        <w:rFonts w:ascii="Schibsted Grotesk" w:cs="Schibsted Grotesk" w:eastAsia="Schibsted Grotesk" w:hAnsi="Schibsted Grotesk"/>
        <w:b/>
        <w:bCs/>
        <w:color w:val="686F75"/>
        <w:spacing w:val="22"/>
        <w:sz w:val="12"/>
        <w:szCs w:val="12"/>
      </w:rPr>
      <w:t xml:space="preserve">THE LIMB (A) TEST · STATUTORY TEXT READ 22 AUGUST 2026</w:t>
    </w:r>
    <w:r>
      <w:ptab w:alignment="right" w:relativeTo="margin" w:leader="none"/>
    </w:r>
    <w:r>
      <w:rPr>
        <w:rFonts w:ascii="Schibsted Grotesk" w:cs="Schibsted Grotesk" w:eastAsia="Schibsted Grotesk" w:hAnsi="Schibsted Grotesk"/>
        <w:b/>
        <w:bCs/>
        <w:color w:val="686F75"/>
        <w:spacing w:val="22"/>
        <w:sz w:val="12"/>
        <w:szCs w:val="12"/>
      </w:rPr>
      <w:t xml:space="preserve">PAGE </w:t>
    </w:r>
    <w:r>
      <w:rPr>
        <w:rFonts w:ascii="Schibsted Grotesk" w:cs="Schibsted Grotesk" w:eastAsia="Schibsted Grotesk" w:hAnsi="Schibsted Grotesk"/>
        <w:b/>
        <w:bCs/>
        <w:color w:val="686F75"/>
        <w:sz w:val="12"/>
        <w:szCs w:val="12"/>
      </w:rPr>
      <w:fldChar w:fldCharType="begin"/>
      <w:instrText xml:space="preserve">PAGE</w:instrText>
      <w:fldChar w:fldCharType="separate"/>
      <w:fldChar w:fldCharType="end"/>
    </w:r>
  </w:p>
  <w:p>
    <w:r>
      <w:rPr>
        <w:rFonts w:ascii="Schibsted Grotesk" w:cs="Schibsted Grotesk" w:eastAsia="Schibsted Grotesk" w:hAnsi="Schibsted Grotesk"/>
        <w:color w:val="686F75"/>
        <w:sz w:val="12"/>
        <w:szCs w:val="12"/>
      </w:rPr>
      <w:t xml:space="preserve">© 2026 Mycelium</w:t>
    </w:r>
    <w:r>
      <w:rPr>
        <w:rFonts w:ascii="Schibsted Grotesk" w:cs="Schibsted Grotesk" w:eastAsia="Schibsted Grotesk" w:hAnsi="Schibsted Grotesk"/>
        <w:color w:val="686F75"/>
        <w:sz w:val="9"/>
        <w:szCs w:val="9"/>
        <w:vertAlign w:val="superscript"/>
      </w:rPr>
      <w:t xml:space="preserve">™</w:t>
    </w:r>
    <w:r>
      <w:rPr>
        <w:rFonts w:ascii="Schibsted Grotesk" w:cs="Schibsted Grotesk" w:eastAsia="Schibsted Grotesk" w:hAnsi="Schibsted Grotesk"/>
        <w:color w:val="686F75"/>
        <w:sz w:val="12"/>
        <w:szCs w:val="12"/>
      </w:rPr>
      <w:t xml:space="preserve">. All rights reserved. Proprietary methodology.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1906"/>
      <w:tblInd w:type="dxa" w:w="-1020"/>
      <w:tblBorders>
        <w:top w:val="none" w:color="auto" w:sz="0"/>
        <w:left w:val="none" w:color="auto" w:sz="0"/>
        <w:bottom w:val="none" w:color="auto" w:sz="0"/>
        <w:right w:val="none" w:color="auto" w:sz="0"/>
        <w:insideH w:val="none" w:color="auto" w:sz="0"/>
        <w:insideV w:val="none" w:color="auto" w:sz="0"/>
      </w:tblBorders>
    </w:tblPr>
    <w:tblGrid>
      <w:gridCol w:w="2976"/>
      <w:gridCol w:w="2976"/>
      <w:gridCol w:w="2976"/>
      <w:gridCol w:w="2976"/>
    </w:tblGrid>
    <w:tr>
      <w:trPr>
        <w:trHeight w:val="80" w:hRule="exact"/>
      </w:trPr>
      <w:tc>
        <w:tcPr>
          <w:tcW w:type="dxa" w:w="2976"/>
          <w:tcBorders>
            <w:top w:val="none" w:color="auto" w:sz="0"/>
            <w:left w:val="none" w:color="auto" w:sz="0"/>
            <w:bottom w:val="none" w:color="auto" w:sz="0"/>
            <w:right w:val="none" w:color="auto" w:sz="0"/>
          </w:tcBorders>
          <w:shd w:fill="C9736C" w:color="auto" w:val="clear"/>
        </w:tcPr>
        <w:p>
          <w:pPr>
            <w:spacing w:after="0" w:before="0"/>
          </w:pPr>
        </w:p>
      </w:tc>
      <w:tc>
        <w:tcPr>
          <w:tcW w:type="dxa" w:w="2976"/>
          <w:tcBorders>
            <w:top w:val="none" w:color="auto" w:sz="0"/>
            <w:left w:val="none" w:color="auto" w:sz="0"/>
            <w:bottom w:val="none" w:color="auto" w:sz="0"/>
            <w:right w:val="none" w:color="auto" w:sz="0"/>
          </w:tcBorders>
          <w:shd w:fill="3E9C98" w:color="auto" w:val="clear"/>
        </w:tcPr>
        <w:p>
          <w:pPr>
            <w:spacing w:after="0" w:before="0"/>
          </w:pPr>
        </w:p>
      </w:tc>
      <w:tc>
        <w:tcPr>
          <w:tcW w:type="dxa" w:w="2976"/>
          <w:tcBorders>
            <w:top w:val="none" w:color="auto" w:sz="0"/>
            <w:left w:val="none" w:color="auto" w:sz="0"/>
            <w:bottom w:val="none" w:color="auto" w:sz="0"/>
            <w:right w:val="none" w:color="auto" w:sz="0"/>
          </w:tcBorders>
          <w:shd w:fill="B08A28" w:color="auto" w:val="clear"/>
        </w:tcPr>
        <w:p>
          <w:pPr>
            <w:spacing w:after="0" w:before="0"/>
          </w:pPr>
        </w:p>
      </w:tc>
      <w:tc>
        <w:tcPr>
          <w:tcW w:type="dxa" w:w="2976"/>
          <w:tcBorders>
            <w:top w:val="none" w:color="auto" w:sz="0"/>
            <w:left w:val="none" w:color="auto" w:sz="0"/>
            <w:bottom w:val="none" w:color="auto" w:sz="0"/>
            <w:right w:val="none" w:color="auto" w:sz="0"/>
          </w:tcBorders>
          <w:shd w:fill="B98BAC" w:color="auto" w:val="clear"/>
        </w:tcPr>
        <w:p>
          <w:pPr>
            <w:spacing w:after="0" w:before="0"/>
          </w:pPr>
        </w:p>
      </w:tc>
    </w:tr>
    <w:tr>
      <w:tc>
        <w:tcPr>
          <w:tcW w:type="dxa" w:w="11906"/>
          <w:gridSpan w:val="4"/>
          <w:tcBorders>
            <w:top w:val="none" w:color="auto" w:sz="0"/>
            <w:left w:val="none" w:color="auto" w:sz="0"/>
            <w:bottom w:val="none" w:color="auto" w:sz="0"/>
            <w:right w:val="none" w:color="auto" w:sz="0"/>
          </w:tcBorders>
          <w:shd w:fill="14161A" w:color="auto" w:val="clear"/>
          <w:tcMar>
            <w:top w:type="dxa" w:w="420"/>
            <w:left w:type="dxa" w:w="300"/>
            <w:bottom w:type="dxa" w:w="400"/>
            <w:right w:type="dxa" w:w="300"/>
          </w:tcMar>
        </w:tcPr>
        <w:p>
          <w:pPr>
            <w:spacing w:after="130"/>
            <w:jc w:val="center"/>
          </w:pPr>
          <w:r>
            <w:rPr>
              <w:rFonts w:ascii="Schibsted Grotesk" w:cs="Schibsted Grotesk" w:eastAsia="Schibsted Grotesk" w:hAnsi="Schibsted Grotesk"/>
              <w:b/>
              <w:bCs/>
              <w:color w:val="FFFFFF"/>
              <w:spacing w:val="40"/>
              <w:sz w:val="40"/>
              <w:szCs w:val="40"/>
            </w:rPr>
            <w:t xml:space="preserve">Myce</w:t>
          </w:r>
          <w:r>
            <w:rPr>
              <w:rFonts w:ascii="Schibsted Grotesk" w:cs="Schibsted Grotesk" w:eastAsia="Schibsted Grotesk" w:hAnsi="Schibsted Grotesk"/>
              <w:b w:val="false"/>
              <w:bCs w:val="false"/>
              <w:color w:val="8B9298"/>
              <w:spacing w:val="40"/>
              <w:sz w:val="40"/>
              <w:szCs w:val="40"/>
            </w:rPr>
            <w:t xml:space="preserve">|</w:t>
          </w:r>
          <w:r>
            <w:rPr>
              <w:rFonts w:ascii="Schibsted Grotesk" w:cs="Schibsted Grotesk" w:eastAsia="Schibsted Grotesk" w:hAnsi="Schibsted Grotesk"/>
              <w:b/>
              <w:bCs/>
              <w:color w:val="FFFFFF"/>
              <w:spacing w:val="40"/>
              <w:sz w:val="40"/>
              <w:szCs w:val="40"/>
            </w:rPr>
            <w:t xml:space="preserve">ium</w:t>
          </w:r>
        </w:p>
        <w:p>
          <w:pPr>
            <w:jc w:val="center"/>
          </w:pPr>
          <w:r>
            <w:rPr>
              <w:rFonts w:ascii="Schibsted Grotesk" w:cs="Schibsted Grotesk" w:eastAsia="Schibsted Grotesk" w:hAnsi="Schibsted Grotesk"/>
              <w:b/>
              <w:bCs/>
              <w:color w:val="C9CDD1"/>
              <w:spacing w:val="56"/>
              <w:sz w:val="15"/>
              <w:szCs w:val="15"/>
            </w:rPr>
            <w:t xml:space="preserve">AI GOVERNANCE AND EVIDENCE</w:t>
          </w:r>
        </w:p>
        <w:p>
          <w:pPr>
            <w:spacing w:before="110"/>
            <w:jc w:val="center"/>
          </w:pPr>
          <w:r>
            <w:rPr>
              <w:rFonts w:ascii="Schibsted Grotesk" w:cs="Schibsted Grotesk" w:eastAsia="Schibsted Grotesk" w:hAnsi="Schibsted Grotesk"/>
              <w:b/>
              <w:bCs/>
              <w:color w:val="8B9298"/>
              <w:spacing w:val="40"/>
              <w:sz w:val="12"/>
              <w:szCs w:val="12"/>
            </w:rPr>
            <w:t xml:space="preserve">THEMYCELIUMGROUP.COM.AU</w:t>
          </w:r>
        </w:p>
      </w:tc>
    </w:tr>
  </w:tbl>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ibsted Grotesk" w:cs="Schibsted Grotesk" w:eastAsia="Schibsted Grotesk" w:hAnsi="Schibsted Grotesk"/>
        <w:color w:val="1416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limb (a) test</dc:title>
  <dc:creator>Mycelium</dc:creator>
  <dc:description>A working test for limb (a) of Australian Privacy Principle 1.7.</dc:description>
  <cp:lastModifiedBy>Un-named</cp:lastModifiedBy>
  <cp:revision>1</cp:revision>
  <dcterms:created xsi:type="dcterms:W3CDTF">2026-08-22T09:03:18.763Z</dcterms:created>
  <dcterms:modified xsi:type="dcterms:W3CDTF">2026-08-22T09:03:18.763Z</dcterms:modified>
</cp:coreProperties>
</file>

<file path=docProps/custom.xml><?xml version="1.0" encoding="utf-8"?>
<Properties xmlns="http://schemas.openxmlformats.org/officeDocument/2006/custom-properties" xmlns:vt="http://schemas.openxmlformats.org/officeDocument/2006/docPropsVTypes"/>
</file>